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18797.xml.htm"/>
      <w:bookmarkStart w:id="1" w:name="kswkform4_17843187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SACHS BRUCE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PHARMACEUTICALS INC / MA</w:t>
              </w:r>
            </w:hyperlink>
            <w:r>
              <w:rPr/>
              <w:t xml:space="preserve"> [ </w:t>
            </w:r>
            <w:r>
              <w:rPr>
                <w:rFonts w:ascii="Times;serif" w:hAnsi="Times;serif"/>
                <w:color w:val="0000FF"/>
                <w:sz w:val="24"/>
                <w:shd w:fill="FFFFFF" w:val="clear"/>
              </w:rPr>
              <w:t>VRTX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99.941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475.28</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15,771.807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stock unit represents one share of common stock and is paid out in common stock upon the earliest to occur of (i) termination of Mr. Sachs' service on our board of directors, (ii) a change of control of our company and (iii) Mr. Sachs' disability or death.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036" TargetMode="External"/><Relationship Id="rId5" Type="http://schemas.openxmlformats.org/officeDocument/2006/relationships/hyperlink" Target="http://www.sec.gov/cgi-bin/browse-edgar?action=getcompany&amp;CIK=0000875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619</Words>
  <Characters>3341</Characters>
  <CharactersWithSpaces>3897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